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C897E" w14:textId="3B729704" w:rsidR="00895FD9" w:rsidRDefault="00895FD9" w:rsidP="009B1334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Sustained intracellular calcium rise mediate neuronal </w:t>
      </w:r>
      <w:r w:rsidRPr="00DA724B">
        <w:rPr>
          <w:rFonts w:ascii="Arial" w:eastAsia="Arial" w:hAnsi="Arial" w:cs="Arial"/>
          <w:b/>
          <w:sz w:val="24"/>
          <w:szCs w:val="24"/>
        </w:rPr>
        <w:t>mitophagy</w:t>
      </w:r>
      <w:r>
        <w:rPr>
          <w:rFonts w:ascii="Arial" w:eastAsia="Arial" w:hAnsi="Arial" w:cs="Arial"/>
          <w:b/>
          <w:sz w:val="24"/>
          <w:szCs w:val="24"/>
        </w:rPr>
        <w:t xml:space="preserve"> in models of autosomal dominant optic atrophy.</w:t>
      </w:r>
    </w:p>
    <w:p w14:paraId="36184F58" w14:textId="5DA8A31B" w:rsidR="009B1334" w:rsidRDefault="009B1334" w:rsidP="009B1334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29862F3B" w14:textId="77777777" w:rsidR="009B1334" w:rsidRPr="00127B49" w:rsidRDefault="009B1334" w:rsidP="009B1334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02C38856" w14:textId="77777777" w:rsidR="00895FD9" w:rsidRPr="00127B49" w:rsidRDefault="00895FD9" w:rsidP="009B1334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vertAlign w:val="superscript"/>
          <w:lang w:val="it-IT"/>
        </w:rPr>
      </w:pPr>
      <w:r w:rsidRPr="00127B49">
        <w:rPr>
          <w:rFonts w:ascii="Arial" w:eastAsia="Arial" w:hAnsi="Arial" w:cs="Arial"/>
          <w:color w:val="000000"/>
          <w:sz w:val="24"/>
          <w:szCs w:val="24"/>
          <w:lang w:val="it-IT"/>
        </w:rPr>
        <w:t>Marta Zaninello, Konstantinos Palikaras</w:t>
      </w:r>
      <w:r>
        <w:rPr>
          <w:rFonts w:ascii="Arial" w:eastAsia="Arial" w:hAnsi="Arial" w:cs="Arial"/>
          <w:color w:val="000000"/>
          <w:sz w:val="24"/>
          <w:szCs w:val="24"/>
          <w:lang w:val="it-IT"/>
        </w:rPr>
        <w:t xml:space="preserve"> et al</w:t>
      </w:r>
    </w:p>
    <w:p w14:paraId="2251EB63" w14:textId="77777777" w:rsidR="00895FD9" w:rsidRDefault="00895FD9" w:rsidP="009B1334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val="it-IT"/>
        </w:rPr>
      </w:pPr>
      <w:r>
        <w:rPr>
          <w:rFonts w:ascii="Arial" w:eastAsia="Times New Roman" w:hAnsi="Arial" w:cs="Arial"/>
          <w:b/>
          <w:sz w:val="24"/>
          <w:szCs w:val="24"/>
          <w:lang w:val="it-IT"/>
        </w:rPr>
        <w:br w:type="page"/>
      </w:r>
    </w:p>
    <w:p w14:paraId="3BC00BE2" w14:textId="03D31ADA" w:rsidR="009B1334" w:rsidRDefault="00895FD9" w:rsidP="009B1334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lastRenderedPageBreak/>
        <w:t>Supplementary online figures</w:t>
      </w:r>
    </w:p>
    <w:p w14:paraId="54B9DEAF" w14:textId="77777777" w:rsidR="009B1334" w:rsidRDefault="009B1334">
      <w:pPr>
        <w:spacing w:after="160" w:line="259" w:lineRule="auto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br w:type="page"/>
      </w:r>
    </w:p>
    <w:p w14:paraId="303D4535" w14:textId="022F46CC" w:rsidR="009B1334" w:rsidRDefault="002A40BA" w:rsidP="009B1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 w:themeColor="text1"/>
          <w:sz w:val="21"/>
          <w:szCs w:val="21"/>
        </w:rPr>
      </w:pPr>
      <w:r>
        <w:rPr>
          <w:rFonts w:ascii="Arial" w:eastAsia="Arial" w:hAnsi="Arial" w:cs="Arial"/>
          <w:b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1704ABBB" wp14:editId="6133EF51">
            <wp:extent cx="6650182" cy="8136597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01" r="6666"/>
                    <a:stretch/>
                  </pic:blipFill>
                  <pic:spPr bwMode="auto">
                    <a:xfrm>
                      <a:off x="0" y="0"/>
                      <a:ext cx="6659159" cy="814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BBD53" w14:textId="77777777" w:rsidR="002A40BA" w:rsidRDefault="002A40BA" w:rsidP="009B1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 w:themeColor="text1"/>
          <w:sz w:val="21"/>
          <w:szCs w:val="21"/>
        </w:rPr>
      </w:pPr>
    </w:p>
    <w:p w14:paraId="1CCEAC31" w14:textId="23DEAA70" w:rsidR="0072423E" w:rsidRPr="009B1334" w:rsidRDefault="001B25A4" w:rsidP="009B1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 w:themeColor="text1"/>
          <w:sz w:val="21"/>
          <w:szCs w:val="21"/>
        </w:rPr>
      </w:pPr>
      <w:r w:rsidRPr="009B1334">
        <w:rPr>
          <w:rFonts w:ascii="Arial" w:eastAsia="Arial" w:hAnsi="Arial" w:cs="Arial"/>
          <w:b/>
          <w:color w:val="000000" w:themeColor="text1"/>
          <w:sz w:val="21"/>
          <w:szCs w:val="21"/>
        </w:rPr>
        <w:t>Supplementary Figure 1. Opa1 modulates mitochondrial distribution</w:t>
      </w:r>
      <w:r w:rsidR="0072423E" w:rsidRPr="009B1334">
        <w:rPr>
          <w:rFonts w:ascii="Arial" w:eastAsia="Arial" w:hAnsi="Arial" w:cs="Arial"/>
          <w:b/>
          <w:color w:val="000000" w:themeColor="text1"/>
          <w:sz w:val="21"/>
          <w:szCs w:val="21"/>
        </w:rPr>
        <w:t xml:space="preserve">, function, </w:t>
      </w:r>
      <w:r w:rsidRPr="009B1334">
        <w:rPr>
          <w:rFonts w:ascii="Arial" w:eastAsia="Arial" w:hAnsi="Arial" w:cs="Arial"/>
          <w:b/>
          <w:color w:val="000000" w:themeColor="text1"/>
          <w:sz w:val="21"/>
          <w:szCs w:val="21"/>
        </w:rPr>
        <w:t>and motility.</w:t>
      </w:r>
    </w:p>
    <w:p w14:paraId="6FC5B767" w14:textId="4706E9F7" w:rsidR="0072423E" w:rsidRPr="009B1334" w:rsidRDefault="001B25A4" w:rsidP="009B1334">
      <w:pPr>
        <w:spacing w:after="0" w:line="240" w:lineRule="auto"/>
        <w:jc w:val="both"/>
        <w:rPr>
          <w:rFonts w:ascii="Arial" w:eastAsia="Times New Roman" w:hAnsi="Arial" w:cs="Arial"/>
          <w:b/>
          <w:sz w:val="21"/>
          <w:szCs w:val="21"/>
        </w:rPr>
      </w:pPr>
      <w:r w:rsidRPr="009B1334">
        <w:rPr>
          <w:rFonts w:ascii="Arial" w:eastAsia="Times New Roman" w:hAnsi="Arial" w:cs="Arial"/>
          <w:b/>
          <w:color w:val="000000" w:themeColor="text1"/>
          <w:sz w:val="21"/>
          <w:szCs w:val="21"/>
        </w:rPr>
        <w:t>(a)</w:t>
      </w:r>
      <w:r w:rsidR="0072423E" w:rsidRPr="009B1334">
        <w:rPr>
          <w:rFonts w:ascii="Arial" w:eastAsia="Times New Roman" w:hAnsi="Arial" w:cs="Arial"/>
          <w:b/>
          <w:sz w:val="21"/>
          <w:szCs w:val="21"/>
        </w:rPr>
        <w:t xml:space="preserve"> </w:t>
      </w:r>
      <w:r w:rsidR="0072423E" w:rsidRPr="009B1334">
        <w:rPr>
          <w:rFonts w:ascii="Arial" w:eastAsia="Times New Roman" w:hAnsi="Arial" w:cs="Arial"/>
          <w:sz w:val="21"/>
          <w:szCs w:val="21"/>
        </w:rPr>
        <w:t xml:space="preserve">Representative images of </w:t>
      </w:r>
      <w:r w:rsidR="0072423E" w:rsidRPr="009B1334">
        <w:rPr>
          <w:rFonts w:ascii="Arial" w:eastAsia="Times New Roman" w:hAnsi="Arial" w:cs="Arial"/>
          <w:i/>
          <w:sz w:val="21"/>
          <w:szCs w:val="21"/>
        </w:rPr>
        <w:t xml:space="preserve">eat-3(ad426) </w:t>
      </w:r>
      <w:r w:rsidR="0072423E" w:rsidRPr="009B1334">
        <w:rPr>
          <w:rFonts w:ascii="Arial" w:eastAsia="Times New Roman" w:hAnsi="Arial" w:cs="Arial"/>
          <w:iCs/>
          <w:sz w:val="21"/>
          <w:szCs w:val="21"/>
        </w:rPr>
        <w:t>GABAergic cell bodies. T</w:t>
      </w:r>
      <w:r w:rsidR="0072423E" w:rsidRPr="009B1334">
        <w:rPr>
          <w:rFonts w:ascii="Arial" w:eastAsia="Times New Roman" w:hAnsi="Arial" w:cs="Arial"/>
          <w:sz w:val="21"/>
          <w:szCs w:val="21"/>
        </w:rPr>
        <w:t xml:space="preserve">he channels of neurons (red, top) mitochondria (green, middle) and merged (bottom) are shown. Scale bar, 20 </w:t>
      </w:r>
      <w:proofErr w:type="spellStart"/>
      <w:r w:rsidR="0072423E" w:rsidRPr="009B1334">
        <w:rPr>
          <w:rFonts w:ascii="Arial" w:eastAsia="Times New Roman" w:hAnsi="Arial" w:cs="Arial"/>
          <w:sz w:val="21"/>
          <w:szCs w:val="21"/>
        </w:rPr>
        <w:t>μm</w:t>
      </w:r>
      <w:proofErr w:type="spellEnd"/>
      <w:r w:rsidR="0072423E" w:rsidRPr="009B1334">
        <w:rPr>
          <w:rFonts w:ascii="Arial" w:eastAsia="Times New Roman" w:hAnsi="Arial" w:cs="Arial"/>
          <w:sz w:val="21"/>
          <w:szCs w:val="21"/>
        </w:rPr>
        <w:t xml:space="preserve">. </w:t>
      </w:r>
    </w:p>
    <w:p w14:paraId="4FE1906C" w14:textId="77777777" w:rsidR="0072423E" w:rsidRPr="009B1334" w:rsidRDefault="001B25A4" w:rsidP="009B1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1"/>
          <w:szCs w:val="21"/>
        </w:rPr>
      </w:pPr>
      <w:r w:rsidRPr="009B1334">
        <w:rPr>
          <w:rFonts w:ascii="Arial" w:eastAsia="Arial" w:hAnsi="Arial" w:cs="Arial"/>
          <w:b/>
          <w:bCs/>
          <w:color w:val="000000" w:themeColor="text1"/>
          <w:sz w:val="21"/>
          <w:szCs w:val="21"/>
        </w:rPr>
        <w:lastRenderedPageBreak/>
        <w:t>(b)</w:t>
      </w:r>
      <w:r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 Mitochondrial ATP levels in soma and neurites (n=1-5 cells/experiment; </w:t>
      </w:r>
      <w:proofErr w:type="spellStart"/>
      <w:r w:rsidRPr="009B1334">
        <w:rPr>
          <w:rFonts w:ascii="Arial" w:eastAsia="Arial" w:hAnsi="Arial" w:cs="Arial"/>
          <w:color w:val="000000" w:themeColor="text1"/>
          <w:sz w:val="21"/>
          <w:szCs w:val="21"/>
        </w:rPr>
        <w:t>n.s</w:t>
      </w:r>
      <w:proofErr w:type="spellEnd"/>
      <w:r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. in a one-way ANOVA test with Tukey’s and </w:t>
      </w:r>
      <w:proofErr w:type="spellStart"/>
      <w:r w:rsidRPr="009B1334">
        <w:rPr>
          <w:rFonts w:ascii="Arial" w:eastAsia="Arial" w:hAnsi="Arial" w:cs="Arial"/>
          <w:color w:val="000000" w:themeColor="text1"/>
          <w:sz w:val="21"/>
          <w:szCs w:val="21"/>
        </w:rPr>
        <w:t>Sidak’s</w:t>
      </w:r>
      <w:proofErr w:type="spellEnd"/>
      <w:r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 multiple comparison tests).</w:t>
      </w:r>
      <w:r w:rsidRPr="009B1334">
        <w:rPr>
          <w:rFonts w:ascii="Arial" w:eastAsia="Arial" w:hAnsi="Arial" w:cs="Arial"/>
          <w:b/>
          <w:bCs/>
          <w:color w:val="000000" w:themeColor="text1"/>
          <w:sz w:val="21"/>
          <w:szCs w:val="21"/>
        </w:rPr>
        <w:t xml:space="preserve"> </w:t>
      </w:r>
    </w:p>
    <w:p w14:paraId="15ADBC00" w14:textId="77777777" w:rsidR="0072423E" w:rsidRPr="009B1334" w:rsidRDefault="001B25A4" w:rsidP="009B1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 w:themeColor="text1"/>
          <w:sz w:val="21"/>
          <w:szCs w:val="21"/>
          <w:lang w:val="en-GB"/>
        </w:rPr>
      </w:pPr>
      <w:r w:rsidRPr="009B1334">
        <w:rPr>
          <w:rFonts w:ascii="Arial" w:eastAsia="Arial" w:hAnsi="Arial" w:cs="Arial"/>
          <w:b/>
          <w:bCs/>
          <w:color w:val="000000" w:themeColor="text1"/>
          <w:sz w:val="21"/>
          <w:szCs w:val="21"/>
        </w:rPr>
        <w:t>(c, d)</w:t>
      </w:r>
      <w:r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 Average TMRM fluorescence changes over somatic (c) and neurite (d) mitochondria of GFP</w:t>
      </w:r>
      <w:r w:rsidRPr="009B1334">
        <w:rPr>
          <w:rFonts w:ascii="Arial" w:eastAsia="Arial" w:hAnsi="Arial" w:cs="Arial"/>
          <w:color w:val="000000" w:themeColor="text1"/>
          <w:sz w:val="21"/>
          <w:szCs w:val="21"/>
          <w:vertAlign w:val="superscript"/>
        </w:rPr>
        <w:t>+</w:t>
      </w:r>
      <w:r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 RGCs co-transfected with GFP and the indicated plasmids (n=2-8 cells/experiment of 3-6 independent experiments). Where indicated, cells were treated with Oligomycin (Oligo, 2 µM) and FCCP (2 µM).</w:t>
      </w:r>
      <w:r w:rsidRPr="009B1334">
        <w:rPr>
          <w:rFonts w:ascii="Arial" w:eastAsia="Arial" w:hAnsi="Arial" w:cs="Arial"/>
          <w:b/>
          <w:bCs/>
          <w:color w:val="000000" w:themeColor="text1"/>
          <w:sz w:val="21"/>
          <w:szCs w:val="21"/>
          <w:lang w:val="en-GB"/>
        </w:rPr>
        <w:t xml:space="preserve"> </w:t>
      </w:r>
    </w:p>
    <w:p w14:paraId="11E0A953" w14:textId="77777777" w:rsidR="0072423E" w:rsidRPr="009B1334" w:rsidRDefault="001B25A4" w:rsidP="009B1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 w:themeColor="text1"/>
          <w:sz w:val="21"/>
          <w:szCs w:val="21"/>
        </w:rPr>
      </w:pPr>
      <w:r w:rsidRPr="009B1334">
        <w:rPr>
          <w:rFonts w:ascii="Arial" w:eastAsia="Arial" w:hAnsi="Arial" w:cs="Arial"/>
          <w:b/>
          <w:bCs/>
          <w:color w:val="000000" w:themeColor="text1"/>
          <w:sz w:val="21"/>
          <w:szCs w:val="21"/>
          <w:lang w:val="en-GB"/>
        </w:rPr>
        <w:t xml:space="preserve">(e) </w:t>
      </w:r>
      <w:r w:rsidRPr="009B1334">
        <w:rPr>
          <w:rFonts w:ascii="Arial" w:eastAsia="Arial" w:hAnsi="Arial" w:cs="Arial"/>
          <w:color w:val="000000" w:themeColor="text1"/>
          <w:sz w:val="21"/>
          <w:szCs w:val="21"/>
          <w:lang w:val="en-GB"/>
        </w:rPr>
        <w:t xml:space="preserve">Representative kymographs of movies of the fluorescence of </w:t>
      </w:r>
      <w:proofErr w:type="spellStart"/>
      <w:r w:rsidRPr="009B1334">
        <w:rPr>
          <w:rFonts w:ascii="Arial" w:eastAsia="Arial" w:hAnsi="Arial" w:cs="Arial"/>
          <w:color w:val="000000" w:themeColor="text1"/>
          <w:sz w:val="21"/>
          <w:szCs w:val="21"/>
        </w:rPr>
        <w:t>mtRFP</w:t>
      </w:r>
      <w:proofErr w:type="spellEnd"/>
      <w:r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 acquired 24 </w:t>
      </w:r>
      <w:proofErr w:type="spellStart"/>
      <w:r w:rsidRPr="009B1334">
        <w:rPr>
          <w:rFonts w:ascii="Arial" w:eastAsia="Arial" w:hAnsi="Arial" w:cs="Arial"/>
          <w:color w:val="000000" w:themeColor="text1"/>
          <w:sz w:val="21"/>
          <w:szCs w:val="21"/>
        </w:rPr>
        <w:t>hrs</w:t>
      </w:r>
      <w:proofErr w:type="spellEnd"/>
      <w:r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 after transfection of primary RGCs co-transfected with </w:t>
      </w:r>
      <w:proofErr w:type="spellStart"/>
      <w:r w:rsidRPr="009B1334">
        <w:rPr>
          <w:rFonts w:ascii="Arial" w:eastAsia="Arial" w:hAnsi="Arial" w:cs="Arial"/>
          <w:color w:val="000000" w:themeColor="text1"/>
          <w:sz w:val="21"/>
          <w:szCs w:val="21"/>
        </w:rPr>
        <w:t>mtRFP</w:t>
      </w:r>
      <w:proofErr w:type="spellEnd"/>
      <w:r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 and the indicated plasmids. </w:t>
      </w:r>
    </w:p>
    <w:p w14:paraId="2CD02C95" w14:textId="77777777" w:rsidR="0072423E" w:rsidRPr="009B1334" w:rsidRDefault="001B25A4" w:rsidP="009B1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 w:themeColor="text1"/>
          <w:sz w:val="21"/>
          <w:szCs w:val="21"/>
        </w:rPr>
      </w:pPr>
      <w:r w:rsidRPr="009B1334">
        <w:rPr>
          <w:rFonts w:ascii="Arial" w:eastAsia="Arial" w:hAnsi="Arial" w:cs="Arial"/>
          <w:b/>
          <w:bCs/>
          <w:color w:val="000000" w:themeColor="text1"/>
          <w:sz w:val="21"/>
          <w:szCs w:val="21"/>
        </w:rPr>
        <w:t>(f, g)</w:t>
      </w:r>
      <w:r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 Anterograde (f) and retrograde (g) velocity of mitochondria (n=1-5 cells/experiment; </w:t>
      </w:r>
      <w:proofErr w:type="spellStart"/>
      <w:r w:rsidRPr="009B1334">
        <w:rPr>
          <w:rFonts w:ascii="Arial" w:eastAsia="Arial" w:hAnsi="Arial" w:cs="Arial"/>
          <w:color w:val="000000" w:themeColor="text1"/>
          <w:sz w:val="21"/>
          <w:szCs w:val="21"/>
        </w:rPr>
        <w:t>n.s</w:t>
      </w:r>
      <w:proofErr w:type="spellEnd"/>
      <w:r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. p&lt;0.0021 in a one-way ANOVA test with Dunnett’s multiple comparison test). </w:t>
      </w:r>
    </w:p>
    <w:p w14:paraId="4D59F2F2" w14:textId="24BD7283" w:rsidR="009B1334" w:rsidRPr="009B1334" w:rsidRDefault="001B25A4" w:rsidP="009B13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 w:themeColor="text1"/>
          <w:sz w:val="21"/>
          <w:szCs w:val="21"/>
        </w:rPr>
      </w:pPr>
      <w:r w:rsidRPr="009B1334">
        <w:rPr>
          <w:rFonts w:ascii="Arial" w:eastAsia="Arial" w:hAnsi="Arial" w:cs="Arial"/>
          <w:b/>
          <w:bCs/>
          <w:color w:val="000000" w:themeColor="text1"/>
          <w:sz w:val="21"/>
          <w:szCs w:val="21"/>
        </w:rPr>
        <w:t>(h)</w:t>
      </w:r>
      <w:r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 Mitochondrial movement in neurites. The number of moving mitochondria is normalized to the number of total mitochondria (n=1-5 cells/experiment; *, p&lt;0.03; **, p&lt;0.002 in a one-way ANOVA test with Dunnett’s multiple comparison test). </w:t>
      </w:r>
      <w:r w:rsidR="009B1334" w:rsidRPr="009B1334">
        <w:rPr>
          <w:rFonts w:ascii="Arial" w:eastAsia="Arial" w:hAnsi="Arial" w:cs="Arial"/>
          <w:color w:val="000000" w:themeColor="text1"/>
          <w:sz w:val="21"/>
          <w:szCs w:val="21"/>
        </w:rPr>
        <w:br w:type="page"/>
      </w:r>
    </w:p>
    <w:p w14:paraId="52F8992D" w14:textId="08D56D32" w:rsidR="001B25A4" w:rsidRPr="009B1334" w:rsidRDefault="002A40BA" w:rsidP="009B1334">
      <w:pPr>
        <w:spacing w:after="0" w:line="240" w:lineRule="auto"/>
        <w:jc w:val="center"/>
        <w:rPr>
          <w:rFonts w:ascii="Arial" w:eastAsia="Arial" w:hAnsi="Arial" w:cs="Arial"/>
          <w:b/>
          <w:color w:val="000000" w:themeColor="text1"/>
          <w:sz w:val="21"/>
          <w:szCs w:val="21"/>
        </w:rPr>
      </w:pPr>
      <w:r>
        <w:rPr>
          <w:rFonts w:ascii="Arial" w:eastAsia="Arial" w:hAnsi="Arial" w:cs="Arial"/>
          <w:b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7ECAC2D8" wp14:editId="0D6B960A">
            <wp:extent cx="6757059" cy="7334637"/>
            <wp:effectExtent l="0" t="0" r="0" b="0"/>
            <wp:docPr id="7" name="Picture 7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schematic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r="1814"/>
                    <a:stretch/>
                  </pic:blipFill>
                  <pic:spPr bwMode="auto">
                    <a:xfrm>
                      <a:off x="0" y="0"/>
                      <a:ext cx="6764616" cy="7342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C73E7" w14:textId="0ECA0F06" w:rsidR="0072423E" w:rsidRPr="009B1334" w:rsidRDefault="001B25A4" w:rsidP="009B1334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1"/>
          <w:szCs w:val="21"/>
        </w:rPr>
      </w:pPr>
      <w:r w:rsidRPr="009B1334">
        <w:rPr>
          <w:rFonts w:ascii="Arial" w:eastAsia="Arial" w:hAnsi="Arial" w:cs="Arial"/>
          <w:b/>
          <w:color w:val="000000" w:themeColor="text1"/>
          <w:sz w:val="21"/>
          <w:szCs w:val="21"/>
        </w:rPr>
        <w:t xml:space="preserve">Supplementary Figure 2. </w:t>
      </w:r>
      <w:r w:rsidRPr="009B1334">
        <w:rPr>
          <w:rFonts w:ascii="Arial" w:eastAsia="Times New Roman" w:hAnsi="Arial" w:cs="Arial"/>
          <w:b/>
          <w:color w:val="000000" w:themeColor="text1"/>
          <w:sz w:val="21"/>
          <w:szCs w:val="21"/>
        </w:rPr>
        <w:t>Cytoplasmic Ca</w:t>
      </w:r>
      <w:r w:rsidRPr="009B1334">
        <w:rPr>
          <w:rFonts w:ascii="Arial" w:eastAsia="Times New Roman" w:hAnsi="Arial" w:cs="Arial"/>
          <w:b/>
          <w:color w:val="000000" w:themeColor="text1"/>
          <w:sz w:val="21"/>
          <w:szCs w:val="21"/>
          <w:vertAlign w:val="superscript"/>
        </w:rPr>
        <w:t>2+</w:t>
      </w:r>
      <w:r w:rsidRPr="009B1334">
        <w:rPr>
          <w:rFonts w:ascii="Arial" w:eastAsia="Times New Roman" w:hAnsi="Arial" w:cs="Arial"/>
          <w:b/>
          <w:color w:val="000000" w:themeColor="text1"/>
          <w:sz w:val="21"/>
          <w:szCs w:val="21"/>
        </w:rPr>
        <w:t xml:space="preserve"> levels mediate mitochondrial distribution in axons of paraquat-treated nematodes. </w:t>
      </w:r>
    </w:p>
    <w:p w14:paraId="0E354173" w14:textId="703771C9" w:rsidR="0072423E" w:rsidRPr="009B1334" w:rsidRDefault="0072423E" w:rsidP="009B1334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9B1334">
        <w:rPr>
          <w:rFonts w:ascii="Arial" w:eastAsia="Times New Roman" w:hAnsi="Arial" w:cs="Arial"/>
          <w:b/>
          <w:color w:val="000000" w:themeColor="text1"/>
          <w:sz w:val="21"/>
          <w:szCs w:val="21"/>
        </w:rPr>
        <w:t>(a)</w:t>
      </w:r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</w:t>
      </w:r>
      <w:r w:rsidR="0091211A" w:rsidRPr="009B1334">
        <w:rPr>
          <w:rFonts w:ascii="Arial" w:eastAsia="Times New Roman" w:hAnsi="Arial" w:cs="Arial"/>
          <w:sz w:val="21"/>
          <w:szCs w:val="21"/>
        </w:rPr>
        <w:t xml:space="preserve">Representative images of </w:t>
      </w:r>
      <w:r w:rsidR="0091211A" w:rsidRPr="009B1334">
        <w:rPr>
          <w:rFonts w:ascii="Arial" w:eastAsia="Times New Roman" w:hAnsi="Arial" w:cs="Arial"/>
          <w:iCs/>
          <w:sz w:val="21"/>
          <w:szCs w:val="21"/>
        </w:rPr>
        <w:t>GABAergic motor neurons in nematodes of the indicated genotype treated where indicated with paraquat (PQ). T</w:t>
      </w:r>
      <w:r w:rsidR="0091211A" w:rsidRPr="009B1334">
        <w:rPr>
          <w:rFonts w:ascii="Arial" w:eastAsia="Times New Roman" w:hAnsi="Arial" w:cs="Arial"/>
          <w:sz w:val="21"/>
          <w:szCs w:val="21"/>
        </w:rPr>
        <w:t>he channels of neurons (</w:t>
      </w:r>
      <w:proofErr w:type="spellStart"/>
      <w:r w:rsidR="0091211A" w:rsidRPr="009B1334">
        <w:rPr>
          <w:rFonts w:ascii="Arial" w:eastAsia="Times New Roman" w:hAnsi="Arial" w:cs="Arial"/>
          <w:sz w:val="21"/>
          <w:szCs w:val="21"/>
        </w:rPr>
        <w:t>mCherry</w:t>
      </w:r>
      <w:proofErr w:type="spellEnd"/>
      <w:r w:rsidR="0091211A" w:rsidRPr="009B1334">
        <w:rPr>
          <w:rFonts w:ascii="Arial" w:eastAsia="Times New Roman" w:hAnsi="Arial" w:cs="Arial"/>
          <w:sz w:val="21"/>
          <w:szCs w:val="21"/>
        </w:rPr>
        <w:t>, red, top) mitochondria (</w:t>
      </w:r>
      <w:proofErr w:type="spellStart"/>
      <w:r w:rsidR="0091211A" w:rsidRPr="009B1334">
        <w:rPr>
          <w:rFonts w:ascii="Arial" w:eastAsia="Times New Roman" w:hAnsi="Arial" w:cs="Arial"/>
          <w:sz w:val="21"/>
          <w:szCs w:val="21"/>
        </w:rPr>
        <w:t>mtGFP</w:t>
      </w:r>
      <w:proofErr w:type="spellEnd"/>
      <w:r w:rsidR="0091211A" w:rsidRPr="009B1334">
        <w:rPr>
          <w:rFonts w:ascii="Arial" w:eastAsia="Times New Roman" w:hAnsi="Arial" w:cs="Arial"/>
          <w:sz w:val="21"/>
          <w:szCs w:val="21"/>
        </w:rPr>
        <w:t xml:space="preserve">, green, middle) and merged (bottom) are shown. Scale bar, 20 </w:t>
      </w:r>
      <w:proofErr w:type="spellStart"/>
      <w:r w:rsidR="0091211A" w:rsidRPr="009B1334">
        <w:rPr>
          <w:rFonts w:ascii="Arial" w:eastAsia="Times New Roman" w:hAnsi="Arial" w:cs="Arial"/>
          <w:sz w:val="21"/>
          <w:szCs w:val="21"/>
        </w:rPr>
        <w:t>μm</w:t>
      </w:r>
      <w:proofErr w:type="spellEnd"/>
      <w:r w:rsidR="0091211A" w:rsidRPr="009B1334">
        <w:rPr>
          <w:rFonts w:ascii="Arial" w:eastAsia="Times New Roman" w:hAnsi="Arial" w:cs="Arial"/>
          <w:sz w:val="21"/>
          <w:szCs w:val="21"/>
        </w:rPr>
        <w:t xml:space="preserve">. </w:t>
      </w:r>
    </w:p>
    <w:p w14:paraId="0263D978" w14:textId="77777777" w:rsidR="0091211A" w:rsidRPr="009B1334" w:rsidRDefault="000253A4" w:rsidP="009B1334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9B1334">
        <w:rPr>
          <w:rFonts w:ascii="Arial" w:eastAsia="Times New Roman" w:hAnsi="Arial" w:cs="Arial"/>
          <w:b/>
          <w:bCs/>
          <w:color w:val="000000" w:themeColor="text1"/>
          <w:sz w:val="21"/>
          <w:szCs w:val="21"/>
        </w:rPr>
        <w:t>(b)</w:t>
      </w:r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</w:t>
      </w:r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R</w:t>
      </w:r>
      <w:r w:rsidR="0072423E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epresentative </w:t>
      </w:r>
      <w:proofErr w:type="spellStart"/>
      <w:r w:rsidR="0072423E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pseudocolored</w:t>
      </w:r>
      <w:proofErr w:type="spellEnd"/>
      <w:r w:rsidR="0072423E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images of </w:t>
      </w:r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GCaMP2.0 fluorescence in </w:t>
      </w:r>
      <w:r w:rsidR="001B25A4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mechanosensory </w:t>
      </w:r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nematode </w:t>
      </w:r>
      <w:r w:rsidR="001B25A4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neurons </w:t>
      </w:r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treated as indicated. Scale bar, 20µm.</w:t>
      </w:r>
    </w:p>
    <w:p w14:paraId="329F7F45" w14:textId="24AA2386" w:rsidR="0091211A" w:rsidRPr="009B1334" w:rsidRDefault="0091211A" w:rsidP="009B1334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9B1334">
        <w:rPr>
          <w:rFonts w:ascii="Arial" w:eastAsia="Times New Roman" w:hAnsi="Arial" w:cs="Arial"/>
          <w:b/>
          <w:bCs/>
          <w:color w:val="000000" w:themeColor="text1"/>
          <w:sz w:val="21"/>
          <w:szCs w:val="21"/>
        </w:rPr>
        <w:t>(c)</w:t>
      </w:r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</w:t>
      </w:r>
      <w:proofErr w:type="spellStart"/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Average±SD</w:t>
      </w:r>
      <w:proofErr w:type="spellEnd"/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of GCaMP2.0 fluorescence in experiments as in b (n=</w:t>
      </w:r>
      <w:r w:rsidR="001B25A4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35; ****</w:t>
      </w:r>
      <w:r w:rsidR="001B25A4" w:rsidRPr="009B1334">
        <w:rPr>
          <w:rFonts w:ascii="Arial" w:eastAsia="Times New Roman" w:hAnsi="Arial" w:cs="Arial"/>
          <w:i/>
          <w:color w:val="000000" w:themeColor="text1"/>
          <w:sz w:val="21"/>
          <w:szCs w:val="21"/>
        </w:rPr>
        <w:t>P</w:t>
      </w:r>
      <w:r w:rsidR="001B25A4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&lt;0.0001; unpaired </w:t>
      </w:r>
      <w:r w:rsidR="001B25A4" w:rsidRPr="009B1334">
        <w:rPr>
          <w:rFonts w:ascii="Arial" w:eastAsia="Times New Roman" w:hAnsi="Arial" w:cs="Arial"/>
          <w:i/>
          <w:color w:val="000000" w:themeColor="text1"/>
          <w:sz w:val="21"/>
          <w:szCs w:val="21"/>
        </w:rPr>
        <w:t>t-</w:t>
      </w:r>
      <w:r w:rsidR="001B25A4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test with Welch’s correction). </w:t>
      </w:r>
    </w:p>
    <w:p w14:paraId="506EED2B" w14:textId="67D9F4B3" w:rsidR="0091211A" w:rsidRPr="009B1334" w:rsidRDefault="001B25A4" w:rsidP="009B1334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9B1334">
        <w:rPr>
          <w:rFonts w:ascii="Arial" w:eastAsia="Times New Roman" w:hAnsi="Arial" w:cs="Arial"/>
          <w:b/>
          <w:color w:val="000000" w:themeColor="text1"/>
          <w:sz w:val="21"/>
          <w:szCs w:val="21"/>
        </w:rPr>
        <w:lastRenderedPageBreak/>
        <w:t>(</w:t>
      </w:r>
      <w:r w:rsidR="000253A4" w:rsidRPr="009B1334">
        <w:rPr>
          <w:rFonts w:ascii="Arial" w:eastAsia="Times New Roman" w:hAnsi="Arial" w:cs="Arial"/>
          <w:b/>
          <w:color w:val="000000" w:themeColor="text1"/>
          <w:sz w:val="21"/>
          <w:szCs w:val="21"/>
        </w:rPr>
        <w:t>d</w:t>
      </w:r>
      <w:r w:rsidR="0091211A" w:rsidRPr="009B1334">
        <w:rPr>
          <w:rFonts w:ascii="Arial" w:eastAsia="Times New Roman" w:hAnsi="Arial" w:cs="Arial"/>
          <w:b/>
          <w:color w:val="000000" w:themeColor="text1"/>
          <w:sz w:val="21"/>
          <w:szCs w:val="21"/>
        </w:rPr>
        <w:t>)</w:t>
      </w:r>
      <w:r w:rsidRPr="009B1334">
        <w:rPr>
          <w:rFonts w:ascii="Arial" w:eastAsia="Times New Roman" w:hAnsi="Arial" w:cs="Arial"/>
          <w:b/>
          <w:color w:val="000000" w:themeColor="text1"/>
          <w:sz w:val="21"/>
          <w:szCs w:val="21"/>
        </w:rPr>
        <w:t xml:space="preserve"> </w:t>
      </w:r>
      <w:r w:rsidR="0091211A" w:rsidRPr="009B1334">
        <w:rPr>
          <w:rFonts w:ascii="Arial" w:eastAsia="Times New Roman" w:hAnsi="Arial" w:cs="Arial"/>
          <w:bCs/>
          <w:color w:val="000000" w:themeColor="text1"/>
          <w:sz w:val="21"/>
          <w:szCs w:val="21"/>
        </w:rPr>
        <w:t xml:space="preserve">Experiments were as in a except that where indicated, nematodes were treated with </w:t>
      </w:r>
      <w:r w:rsidRPr="009B1334">
        <w:rPr>
          <w:rFonts w:ascii="Arial" w:eastAsia="Times New Roman" w:hAnsi="Arial" w:cs="Arial"/>
          <w:bCs/>
          <w:color w:val="000000" w:themeColor="text1"/>
          <w:sz w:val="21"/>
          <w:szCs w:val="21"/>
        </w:rPr>
        <w:t>10mM EGTA</w:t>
      </w:r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.</w:t>
      </w:r>
    </w:p>
    <w:p w14:paraId="4061D525" w14:textId="2D815AC7" w:rsidR="0091211A" w:rsidRPr="009B1334" w:rsidRDefault="0091211A" w:rsidP="009B1334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9B1334">
        <w:rPr>
          <w:rFonts w:ascii="Arial" w:eastAsia="Times New Roman" w:hAnsi="Arial" w:cs="Arial"/>
          <w:b/>
          <w:bCs/>
          <w:color w:val="000000" w:themeColor="text1"/>
          <w:sz w:val="21"/>
          <w:szCs w:val="21"/>
        </w:rPr>
        <w:t>(e)</w:t>
      </w:r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</w:t>
      </w:r>
      <w:proofErr w:type="spellStart"/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Average±SD</w:t>
      </w:r>
      <w:proofErr w:type="spellEnd"/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of axonal mitochondrial content in experiments as in d (n=25; ****</w:t>
      </w:r>
      <w:r w:rsidRPr="009B1334">
        <w:rPr>
          <w:rFonts w:ascii="Arial" w:eastAsia="Times New Roman" w:hAnsi="Arial" w:cs="Arial"/>
          <w:i/>
          <w:color w:val="000000" w:themeColor="text1"/>
          <w:sz w:val="21"/>
          <w:szCs w:val="21"/>
        </w:rPr>
        <w:t>P</w:t>
      </w:r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&lt;0.0001; unpaired </w:t>
      </w:r>
      <w:r w:rsidRPr="009B1334">
        <w:rPr>
          <w:rFonts w:ascii="Arial" w:eastAsia="Times New Roman" w:hAnsi="Arial" w:cs="Arial"/>
          <w:i/>
          <w:color w:val="000000" w:themeColor="text1"/>
          <w:sz w:val="21"/>
          <w:szCs w:val="21"/>
        </w:rPr>
        <w:t>t-</w:t>
      </w:r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test with Welch’s correction). </w:t>
      </w:r>
    </w:p>
    <w:p w14:paraId="67AC54DF" w14:textId="5670EC53" w:rsidR="0091211A" w:rsidRPr="009B1334" w:rsidRDefault="00FD49B0" w:rsidP="009B1334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9B1334">
        <w:rPr>
          <w:rFonts w:ascii="Arial" w:eastAsia="Times New Roman" w:hAnsi="Arial" w:cs="Arial"/>
          <w:b/>
          <w:bCs/>
          <w:color w:val="000000" w:themeColor="text1"/>
          <w:sz w:val="21"/>
          <w:szCs w:val="21"/>
        </w:rPr>
        <w:t>(f</w:t>
      </w:r>
      <w:r w:rsidR="0091211A" w:rsidRPr="009B1334">
        <w:rPr>
          <w:rFonts w:ascii="Arial" w:eastAsia="Times New Roman" w:hAnsi="Arial" w:cs="Arial"/>
          <w:b/>
          <w:bCs/>
          <w:color w:val="000000" w:themeColor="text1"/>
          <w:sz w:val="21"/>
          <w:szCs w:val="21"/>
        </w:rPr>
        <w:t>)</w:t>
      </w:r>
      <w:r w:rsidRPr="009B1334">
        <w:rPr>
          <w:rFonts w:ascii="Arial" w:eastAsia="Times New Roman" w:hAnsi="Arial" w:cs="Arial"/>
          <w:b/>
          <w:bCs/>
          <w:color w:val="000000" w:themeColor="text1"/>
          <w:sz w:val="21"/>
          <w:szCs w:val="21"/>
        </w:rPr>
        <w:t xml:space="preserve"> </w:t>
      </w:r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Representative images of the GFP and </w:t>
      </w:r>
      <w:proofErr w:type="spellStart"/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dsRed</w:t>
      </w:r>
      <w:proofErr w:type="spellEnd"/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signals in neuronal cells of t</w:t>
      </w:r>
      <w:r w:rsidR="00B5695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ransgenic animals expressing </w:t>
      </w:r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the mitophagy sensor </w:t>
      </w:r>
      <w:proofErr w:type="spellStart"/>
      <w:r w:rsidR="00B5695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mtRosella</w:t>
      </w:r>
      <w:proofErr w:type="spellEnd"/>
      <w:r w:rsidR="00B5695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treated </w:t>
      </w:r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with PQ and 10 mM EGTA where indicated</w:t>
      </w:r>
      <w:r w:rsidR="00B5695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. </w:t>
      </w:r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A decreased ratio between pH-sensitive GFP and pH-insensitive </w:t>
      </w:r>
      <w:proofErr w:type="spellStart"/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DsRed</w:t>
      </w:r>
      <w:proofErr w:type="spellEnd"/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indicates mitophagy induction. Scale bars, 20 </w:t>
      </w:r>
      <w:proofErr w:type="spellStart"/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μm</w:t>
      </w:r>
      <w:proofErr w:type="spellEnd"/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</w:t>
      </w:r>
    </w:p>
    <w:p w14:paraId="30D8A5BD" w14:textId="01CAC58C" w:rsidR="009B1334" w:rsidRPr="009B1334" w:rsidRDefault="0091211A" w:rsidP="009B1334">
      <w:pPr>
        <w:spacing w:after="0" w:line="240" w:lineRule="auto"/>
        <w:jc w:val="both"/>
        <w:rPr>
          <w:rFonts w:ascii="Arial" w:eastAsia="Arial" w:hAnsi="Arial" w:cs="Arial"/>
          <w:b/>
          <w:color w:val="000000" w:themeColor="text1"/>
          <w:sz w:val="21"/>
          <w:szCs w:val="21"/>
        </w:rPr>
      </w:pPr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(g) </w:t>
      </w:r>
      <w:proofErr w:type="spellStart"/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Average±SD</w:t>
      </w:r>
      <w:proofErr w:type="spellEnd"/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of GFP/</w:t>
      </w:r>
      <w:proofErr w:type="spellStart"/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dsRed</w:t>
      </w:r>
      <w:proofErr w:type="spellEnd"/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ratio in experiments as in f. </w:t>
      </w:r>
      <w:r w:rsidR="00B5695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(n=45 animals/experiment). </w:t>
      </w:r>
      <w:r w:rsidR="0004010B"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*, p&lt;0.03; </w:t>
      </w:r>
      <w:r w:rsidR="00B5695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****</w:t>
      </w:r>
      <w:r w:rsidR="00B5695A" w:rsidRPr="009B1334">
        <w:rPr>
          <w:rFonts w:ascii="Arial" w:eastAsia="Times New Roman" w:hAnsi="Arial" w:cs="Arial"/>
          <w:i/>
          <w:color w:val="000000" w:themeColor="text1"/>
          <w:sz w:val="21"/>
          <w:szCs w:val="21"/>
        </w:rPr>
        <w:t>P</w:t>
      </w:r>
      <w:r w:rsidR="00B5695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&lt;0.0001; two-way ANOVA with </w:t>
      </w:r>
      <w:proofErr w:type="spellStart"/>
      <w:r w:rsidR="00B5695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Sidak’s</w:t>
      </w:r>
      <w:proofErr w:type="spellEnd"/>
      <w:r w:rsidR="00B5695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multiple comparison test.</w:t>
      </w:r>
      <w:r w:rsidR="001B25A4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</w:t>
      </w:r>
      <w:r w:rsidR="009B1334" w:rsidRPr="009B1334">
        <w:rPr>
          <w:rFonts w:ascii="Arial" w:eastAsia="Arial" w:hAnsi="Arial" w:cs="Arial"/>
          <w:b/>
          <w:color w:val="000000" w:themeColor="text1"/>
          <w:sz w:val="21"/>
          <w:szCs w:val="21"/>
        </w:rPr>
        <w:br w:type="page"/>
      </w:r>
    </w:p>
    <w:p w14:paraId="262B8E31" w14:textId="2B917A58" w:rsidR="001B25A4" w:rsidRPr="009B1334" w:rsidRDefault="002A40BA" w:rsidP="009B1334">
      <w:pPr>
        <w:spacing w:after="0" w:line="240" w:lineRule="auto"/>
        <w:jc w:val="center"/>
        <w:rPr>
          <w:rFonts w:ascii="Arial" w:eastAsia="Arial" w:hAnsi="Arial" w:cs="Arial"/>
          <w:b/>
          <w:color w:val="000000" w:themeColor="text1"/>
          <w:sz w:val="21"/>
          <w:szCs w:val="21"/>
        </w:rPr>
      </w:pPr>
      <w:r>
        <w:rPr>
          <w:rFonts w:ascii="Arial" w:eastAsia="Arial" w:hAnsi="Arial" w:cs="Arial"/>
          <w:b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070F3D64" wp14:editId="2D645959">
            <wp:extent cx="5842033" cy="8331098"/>
            <wp:effectExtent l="0" t="0" r="0" b="0"/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9" t="4677" r="19653" b="7168"/>
                    <a:stretch/>
                  </pic:blipFill>
                  <pic:spPr bwMode="auto">
                    <a:xfrm>
                      <a:off x="0" y="0"/>
                      <a:ext cx="5851560" cy="834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32BE7" w14:textId="77777777" w:rsidR="0091211A" w:rsidRPr="009B1334" w:rsidRDefault="001B25A4" w:rsidP="009B1334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1"/>
          <w:szCs w:val="21"/>
        </w:rPr>
      </w:pPr>
      <w:r w:rsidRPr="009B1334">
        <w:rPr>
          <w:rFonts w:ascii="Arial" w:eastAsia="Arial" w:hAnsi="Arial" w:cs="Arial"/>
          <w:b/>
          <w:color w:val="000000" w:themeColor="text1"/>
          <w:sz w:val="21"/>
          <w:szCs w:val="21"/>
        </w:rPr>
        <w:t>Supplementary Figure 3</w:t>
      </w:r>
      <w:r w:rsidRPr="009B1334">
        <w:rPr>
          <w:rFonts w:ascii="Arial" w:eastAsia="Times New Roman" w:hAnsi="Arial" w:cs="Arial"/>
          <w:b/>
          <w:color w:val="000000" w:themeColor="text1"/>
          <w:sz w:val="21"/>
          <w:szCs w:val="21"/>
        </w:rPr>
        <w:t xml:space="preserve">. </w:t>
      </w:r>
      <w:proofErr w:type="spellStart"/>
      <w:r w:rsidRPr="009B1334">
        <w:rPr>
          <w:rFonts w:ascii="Arial" w:eastAsia="Times New Roman" w:hAnsi="Arial" w:cs="Arial"/>
          <w:b/>
          <w:color w:val="000000" w:themeColor="text1"/>
          <w:sz w:val="21"/>
          <w:szCs w:val="21"/>
        </w:rPr>
        <w:t>Cn</w:t>
      </w:r>
      <w:r w:rsidRPr="009B1334">
        <w:rPr>
          <w:rFonts w:ascii="Arial" w:eastAsia="Times New Roman" w:hAnsi="Arial" w:cs="Arial"/>
          <w:b/>
          <w:color w:val="000000" w:themeColor="text1"/>
          <w:sz w:val="21"/>
          <w:szCs w:val="21"/>
          <w:vertAlign w:val="superscript"/>
        </w:rPr>
        <w:t>DN</w:t>
      </w:r>
      <w:proofErr w:type="spellEnd"/>
      <w:r w:rsidRPr="009B1334">
        <w:rPr>
          <w:rFonts w:ascii="Arial" w:eastAsia="Times New Roman" w:hAnsi="Arial" w:cs="Arial"/>
          <w:b/>
          <w:color w:val="000000" w:themeColor="text1"/>
          <w:sz w:val="21"/>
          <w:szCs w:val="21"/>
        </w:rPr>
        <w:t xml:space="preserve"> does not alter autophagic flux in Opa1</w:t>
      </w:r>
      <w:r w:rsidRPr="009B1334">
        <w:rPr>
          <w:rFonts w:ascii="Arial" w:eastAsia="Times New Roman" w:hAnsi="Arial" w:cs="Arial"/>
          <w:b/>
          <w:color w:val="000000" w:themeColor="text1"/>
          <w:sz w:val="21"/>
          <w:szCs w:val="21"/>
          <w:vertAlign w:val="superscript"/>
        </w:rPr>
        <w:t>K301A</w:t>
      </w:r>
      <w:r w:rsidRPr="009B1334">
        <w:rPr>
          <w:rFonts w:ascii="Arial" w:eastAsia="Times New Roman" w:hAnsi="Arial" w:cs="Arial"/>
          <w:b/>
          <w:color w:val="000000" w:themeColor="text1"/>
          <w:sz w:val="21"/>
          <w:szCs w:val="21"/>
        </w:rPr>
        <w:t xml:space="preserve"> expressing RGCs. </w:t>
      </w:r>
    </w:p>
    <w:p w14:paraId="3D38AF57" w14:textId="77777777" w:rsidR="0091211A" w:rsidRPr="009B1334" w:rsidRDefault="001B25A4" w:rsidP="009B1334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9B1334">
        <w:rPr>
          <w:rFonts w:ascii="Arial" w:eastAsia="Times New Roman" w:hAnsi="Arial" w:cs="Arial"/>
          <w:b/>
          <w:bCs/>
          <w:color w:val="000000" w:themeColor="text1"/>
          <w:sz w:val="21"/>
          <w:szCs w:val="21"/>
        </w:rPr>
        <w:lastRenderedPageBreak/>
        <w:t>(a)</w:t>
      </w:r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Representative z-projects of stacks of confocal images of the fluorescence of YFP-LC3 (grey) of primary RGCs co-transfected with the indicated plasmids and treated with Bafilomycin A (</w:t>
      </w:r>
      <w:proofErr w:type="spellStart"/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BafA</w:t>
      </w:r>
      <w:proofErr w:type="spellEnd"/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). Soma is enlarged in the right panel. Bar, 20 </w:t>
      </w:r>
      <w:proofErr w:type="spellStart"/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μm</w:t>
      </w:r>
      <w:proofErr w:type="spellEnd"/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. </w:t>
      </w:r>
    </w:p>
    <w:p w14:paraId="68CCBA5F" w14:textId="6677084F" w:rsidR="009B1334" w:rsidRDefault="001B25A4" w:rsidP="009B1334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9B1334">
        <w:rPr>
          <w:rFonts w:ascii="Arial" w:eastAsia="Times New Roman" w:hAnsi="Arial" w:cs="Arial"/>
          <w:b/>
          <w:color w:val="000000" w:themeColor="text1"/>
          <w:sz w:val="21"/>
          <w:szCs w:val="21"/>
        </w:rPr>
        <w:t>(b)</w:t>
      </w:r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Autophagic flux in experiments as in (a). Data represent </w:t>
      </w:r>
      <w:proofErr w:type="spellStart"/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average±SD</w:t>
      </w:r>
      <w:proofErr w:type="spellEnd"/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of 3 independent experiments (n=8-19 cells/experiment); **</w:t>
      </w:r>
      <w:r w:rsidRPr="009B1334">
        <w:rPr>
          <w:rFonts w:ascii="Arial" w:eastAsia="Times New Roman" w:hAnsi="Arial" w:cs="Arial"/>
          <w:i/>
          <w:color w:val="000000" w:themeColor="text1"/>
          <w:sz w:val="21"/>
          <w:szCs w:val="21"/>
        </w:rPr>
        <w:t>P</w:t>
      </w:r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&lt;0.002, ****</w:t>
      </w:r>
      <w:r w:rsidRPr="009B1334">
        <w:rPr>
          <w:rFonts w:ascii="Arial" w:eastAsia="Times New Roman" w:hAnsi="Arial" w:cs="Arial"/>
          <w:i/>
          <w:color w:val="000000" w:themeColor="text1"/>
          <w:sz w:val="21"/>
          <w:szCs w:val="21"/>
        </w:rPr>
        <w:t>P</w:t>
      </w:r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&lt;0.0001; two-way ANOVA with </w:t>
      </w:r>
      <w:proofErr w:type="spellStart"/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Sidak’s</w:t>
      </w:r>
      <w:proofErr w:type="spellEnd"/>
      <w:r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multiple comparison test.</w:t>
      </w:r>
    </w:p>
    <w:p w14:paraId="2974B99F" w14:textId="2220FA5E" w:rsidR="001B25A4" w:rsidRPr="009B1334" w:rsidRDefault="009B1334" w:rsidP="002A40BA">
      <w:pPr>
        <w:spacing w:after="0" w:line="240" w:lineRule="auto"/>
        <w:jc w:val="center"/>
        <w:rPr>
          <w:rFonts w:ascii="Arial" w:eastAsia="Arial" w:hAnsi="Arial" w:cs="Arial"/>
          <w:b/>
          <w:color w:val="000000" w:themeColor="text1"/>
          <w:sz w:val="21"/>
          <w:szCs w:val="21"/>
        </w:rPr>
      </w:pPr>
      <w:r w:rsidRPr="009B1334">
        <w:rPr>
          <w:rFonts w:ascii="Arial" w:eastAsia="Arial" w:hAnsi="Arial" w:cs="Arial"/>
          <w:b/>
          <w:color w:val="000000" w:themeColor="text1"/>
          <w:sz w:val="21"/>
          <w:szCs w:val="21"/>
        </w:rPr>
        <w:br w:type="page"/>
      </w:r>
      <w:r w:rsidR="002A40BA">
        <w:rPr>
          <w:rFonts w:ascii="Arial" w:eastAsia="Arial" w:hAnsi="Arial" w:cs="Arial"/>
          <w:b/>
          <w:noProof/>
          <w:color w:val="000000" w:themeColor="text1"/>
          <w:sz w:val="21"/>
          <w:szCs w:val="21"/>
        </w:rPr>
        <w:lastRenderedPageBreak/>
        <w:drawing>
          <wp:inline distT="0" distB="0" distL="0" distR="0" wp14:anchorId="6631AB22" wp14:editId="779BC46B">
            <wp:extent cx="6728330" cy="6899563"/>
            <wp:effectExtent l="0" t="0" r="0" b="0"/>
            <wp:docPr id="5" name="Picture 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82" b="2154"/>
                    <a:stretch/>
                  </pic:blipFill>
                  <pic:spPr bwMode="auto">
                    <a:xfrm>
                      <a:off x="0" y="0"/>
                      <a:ext cx="6731466" cy="690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B48B5" w14:textId="29A055E7" w:rsidR="0091211A" w:rsidRPr="009B1334" w:rsidRDefault="001B25A4" w:rsidP="009B1334">
      <w:pPr>
        <w:spacing w:after="0" w:line="240" w:lineRule="auto"/>
        <w:jc w:val="both"/>
        <w:rPr>
          <w:rFonts w:ascii="Arial" w:eastAsia="Times New Roman" w:hAnsi="Arial" w:cs="Arial"/>
          <w:b/>
          <w:color w:val="000000" w:themeColor="text1"/>
          <w:sz w:val="21"/>
          <w:szCs w:val="21"/>
        </w:rPr>
      </w:pPr>
      <w:r w:rsidRPr="009B1334">
        <w:rPr>
          <w:rFonts w:ascii="Arial" w:eastAsia="Arial" w:hAnsi="Arial" w:cs="Arial"/>
          <w:b/>
          <w:color w:val="000000" w:themeColor="text1"/>
          <w:sz w:val="21"/>
          <w:szCs w:val="21"/>
        </w:rPr>
        <w:t xml:space="preserve">Supplementary Figure 4. </w:t>
      </w:r>
      <w:r w:rsidR="0091211A" w:rsidRPr="009B1334">
        <w:rPr>
          <w:rFonts w:ascii="Arial" w:eastAsia="Times New Roman" w:hAnsi="Arial" w:cs="Arial"/>
          <w:b/>
          <w:color w:val="000000" w:themeColor="text1"/>
          <w:sz w:val="21"/>
          <w:szCs w:val="21"/>
        </w:rPr>
        <w:t>Ca</w:t>
      </w:r>
      <w:r w:rsidR="0091211A" w:rsidRPr="009B1334">
        <w:rPr>
          <w:rFonts w:ascii="Arial" w:eastAsia="Times New Roman" w:hAnsi="Arial" w:cs="Arial"/>
          <w:b/>
          <w:color w:val="000000" w:themeColor="text1"/>
          <w:sz w:val="21"/>
          <w:szCs w:val="21"/>
          <w:vertAlign w:val="superscript"/>
        </w:rPr>
        <w:t>2+</w:t>
      </w:r>
      <w:r w:rsidR="0091211A" w:rsidRPr="009B1334">
        <w:rPr>
          <w:rFonts w:ascii="Arial" w:eastAsia="Times New Roman" w:hAnsi="Arial" w:cs="Arial"/>
          <w:b/>
          <w:color w:val="000000" w:themeColor="text1"/>
          <w:sz w:val="21"/>
          <w:szCs w:val="21"/>
        </w:rPr>
        <w:t xml:space="preserve"> chelation and autophagy inhibitors</w:t>
      </w:r>
      <w:r w:rsidR="0091211A" w:rsidRPr="009B1334">
        <w:rPr>
          <w:rFonts w:ascii="Arial" w:eastAsia="Arial" w:hAnsi="Arial" w:cs="Arial"/>
          <w:b/>
          <w:color w:val="000000" w:themeColor="text1"/>
          <w:sz w:val="21"/>
          <w:szCs w:val="21"/>
        </w:rPr>
        <w:t xml:space="preserve"> blunt neuronal cell death caused by </w:t>
      </w:r>
      <w:r w:rsidRPr="009B1334">
        <w:rPr>
          <w:rFonts w:ascii="Arial" w:eastAsia="Times New Roman" w:hAnsi="Arial" w:cs="Arial"/>
          <w:b/>
          <w:color w:val="000000" w:themeColor="text1"/>
          <w:sz w:val="21"/>
          <w:szCs w:val="21"/>
        </w:rPr>
        <w:t xml:space="preserve">OPA1 </w:t>
      </w:r>
      <w:r w:rsidR="0091211A" w:rsidRPr="009B1334">
        <w:rPr>
          <w:rFonts w:ascii="Arial" w:eastAsia="Times New Roman" w:hAnsi="Arial" w:cs="Arial"/>
          <w:b/>
          <w:color w:val="000000" w:themeColor="text1"/>
          <w:sz w:val="21"/>
          <w:szCs w:val="21"/>
        </w:rPr>
        <w:t xml:space="preserve">pathogenic </w:t>
      </w:r>
      <w:r w:rsidR="006D7E12" w:rsidRPr="009B1334">
        <w:rPr>
          <w:rFonts w:ascii="Arial" w:eastAsia="Times New Roman" w:hAnsi="Arial" w:cs="Arial"/>
          <w:b/>
          <w:color w:val="000000" w:themeColor="text1"/>
          <w:sz w:val="21"/>
          <w:szCs w:val="21"/>
        </w:rPr>
        <w:t>mutant</w:t>
      </w:r>
      <w:r w:rsidR="0091211A" w:rsidRPr="009B1334">
        <w:rPr>
          <w:rFonts w:ascii="Arial" w:eastAsia="Times New Roman" w:hAnsi="Arial" w:cs="Arial"/>
          <w:b/>
          <w:color w:val="000000" w:themeColor="text1"/>
          <w:sz w:val="21"/>
          <w:szCs w:val="21"/>
        </w:rPr>
        <w:t>s in nematodes and RGCs</w:t>
      </w:r>
      <w:r w:rsidRPr="009B1334">
        <w:rPr>
          <w:rFonts w:ascii="Arial" w:eastAsia="Times New Roman" w:hAnsi="Arial" w:cs="Arial"/>
          <w:b/>
          <w:color w:val="000000" w:themeColor="text1"/>
          <w:sz w:val="21"/>
          <w:szCs w:val="21"/>
        </w:rPr>
        <w:t xml:space="preserve">. </w:t>
      </w:r>
    </w:p>
    <w:p w14:paraId="33ACD626" w14:textId="65153DA0" w:rsidR="0091211A" w:rsidRPr="009B1334" w:rsidRDefault="006D7E12" w:rsidP="009B1334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1"/>
          <w:szCs w:val="21"/>
        </w:rPr>
      </w:pPr>
      <w:r w:rsidRPr="009B1334">
        <w:rPr>
          <w:rFonts w:ascii="Arial" w:eastAsia="Times New Roman" w:hAnsi="Arial" w:cs="Arial"/>
          <w:b/>
          <w:color w:val="000000" w:themeColor="text1"/>
          <w:sz w:val="21"/>
          <w:szCs w:val="21"/>
        </w:rPr>
        <w:t xml:space="preserve">(a) </w:t>
      </w:r>
      <w:r w:rsidR="0091211A" w:rsidRPr="009B1334">
        <w:rPr>
          <w:rFonts w:ascii="Arial" w:eastAsia="Times New Roman" w:hAnsi="Arial" w:cs="Arial"/>
          <w:bCs/>
          <w:color w:val="000000" w:themeColor="text1"/>
          <w:sz w:val="21"/>
          <w:szCs w:val="21"/>
        </w:rPr>
        <w:t>Representative images of the</w:t>
      </w:r>
      <w:r w:rsidR="0091211A" w:rsidRPr="009B1334">
        <w:rPr>
          <w:rFonts w:ascii="Arial" w:eastAsia="Times New Roman" w:hAnsi="Arial" w:cs="Arial"/>
          <w:b/>
          <w:color w:val="000000" w:themeColor="text1"/>
          <w:sz w:val="21"/>
          <w:szCs w:val="21"/>
        </w:rPr>
        <w:t xml:space="preserve"> </w:t>
      </w:r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head region of Wt nematodes and transgenic animals co-expressing OPA1</w:t>
      </w:r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  <w:vertAlign w:val="superscript"/>
        </w:rPr>
        <w:t>K301A</w:t>
      </w:r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with cytosolic </w:t>
      </w:r>
      <w:proofErr w:type="spellStart"/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mCherry</w:t>
      </w:r>
      <w:proofErr w:type="spellEnd"/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. </w:t>
      </w:r>
      <w:r w:rsidR="001B25A4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The </w:t>
      </w:r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asterisk indicates the </w:t>
      </w:r>
      <w:r w:rsidR="001B25A4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loss of </w:t>
      </w:r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GABAergic motor </w:t>
      </w:r>
      <w:r w:rsidR="001B25A4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AVL neuron. </w:t>
      </w:r>
    </w:p>
    <w:p w14:paraId="0961032B" w14:textId="7AB59503" w:rsidR="0091211A" w:rsidRPr="009B1334" w:rsidRDefault="00FD49B0" w:rsidP="009B1334">
      <w:pPr>
        <w:spacing w:after="0" w:line="240" w:lineRule="auto"/>
        <w:jc w:val="both"/>
        <w:rPr>
          <w:rFonts w:ascii="Arial" w:eastAsia="Arial" w:hAnsi="Arial" w:cs="Arial"/>
          <w:color w:val="000000" w:themeColor="text1"/>
          <w:sz w:val="21"/>
          <w:szCs w:val="21"/>
        </w:rPr>
      </w:pPr>
      <w:r w:rsidRPr="009B1334">
        <w:rPr>
          <w:rFonts w:ascii="Arial" w:eastAsia="Arial" w:hAnsi="Arial" w:cs="Arial"/>
          <w:b/>
          <w:bCs/>
          <w:color w:val="000000" w:themeColor="text1"/>
          <w:sz w:val="21"/>
          <w:szCs w:val="21"/>
        </w:rPr>
        <w:t xml:space="preserve">(b) </w:t>
      </w:r>
      <w:r w:rsidR="0091211A"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Experiments were as in </w:t>
      </w:r>
      <w:r w:rsidR="0091211A" w:rsidRPr="009B1334">
        <w:rPr>
          <w:rFonts w:ascii="Arial" w:eastAsia="Arial" w:hAnsi="Arial" w:cs="Arial"/>
          <w:b/>
          <w:bCs/>
          <w:color w:val="000000" w:themeColor="text1"/>
          <w:sz w:val="21"/>
          <w:szCs w:val="21"/>
        </w:rPr>
        <w:t>a,</w:t>
      </w:r>
      <w:r w:rsidR="0091211A"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 except that where indicated animals were treated with</w:t>
      </w:r>
      <w:r w:rsidR="0091211A" w:rsidRPr="009B1334">
        <w:rPr>
          <w:rFonts w:ascii="Arial" w:eastAsia="Arial" w:hAnsi="Arial" w:cs="Arial"/>
          <w:b/>
          <w:bCs/>
          <w:color w:val="000000" w:themeColor="text1"/>
          <w:sz w:val="21"/>
          <w:szCs w:val="21"/>
        </w:rPr>
        <w:t xml:space="preserve"> </w:t>
      </w:r>
      <w:r w:rsidR="001012EF" w:rsidRPr="009B1334">
        <w:rPr>
          <w:rFonts w:ascii="Arial" w:eastAsia="Arial" w:hAnsi="Arial" w:cs="Arial"/>
          <w:color w:val="000000" w:themeColor="text1"/>
          <w:sz w:val="21"/>
          <w:szCs w:val="21"/>
        </w:rPr>
        <w:t>EGTA</w:t>
      </w:r>
      <w:r w:rsidR="0091211A" w:rsidRPr="009B1334">
        <w:rPr>
          <w:rFonts w:ascii="Arial" w:eastAsia="Arial" w:hAnsi="Arial" w:cs="Arial"/>
          <w:color w:val="000000" w:themeColor="text1"/>
          <w:sz w:val="21"/>
          <w:szCs w:val="21"/>
        </w:rPr>
        <w:t>,</w:t>
      </w:r>
      <w:r w:rsidR="001012EF"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 NAC </w:t>
      </w:r>
      <w:r w:rsidR="0091211A" w:rsidRPr="009B1334">
        <w:rPr>
          <w:rFonts w:ascii="Arial" w:eastAsia="Arial" w:hAnsi="Arial" w:cs="Arial"/>
          <w:color w:val="000000" w:themeColor="text1"/>
          <w:sz w:val="21"/>
          <w:szCs w:val="21"/>
        </w:rPr>
        <w:t>or a combination of the two</w:t>
      </w:r>
      <w:r w:rsidR="00862C1C"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. Data represent </w:t>
      </w:r>
      <w:proofErr w:type="spellStart"/>
      <w:r w:rsidR="00862C1C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average</w:t>
      </w:r>
      <w:r w:rsidR="008C67A7">
        <w:rPr>
          <w:rFonts w:ascii="Arial" w:eastAsia="Times New Roman" w:hAnsi="Arial" w:cs="Arial"/>
          <w:color w:val="000000" w:themeColor="text1"/>
          <w:sz w:val="21"/>
          <w:szCs w:val="21"/>
        </w:rPr>
        <w:t>±</w:t>
      </w:r>
      <w:r w:rsidR="00862C1C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SD</w:t>
      </w:r>
      <w:proofErr w:type="spellEnd"/>
      <w:r w:rsidR="00862C1C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of 3 independent experiments</w:t>
      </w:r>
      <w:r w:rsidR="00862C1C"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 (n=30 animals/experiment); *</w:t>
      </w:r>
      <w:r w:rsidR="00862C1C" w:rsidRPr="009B1334">
        <w:rPr>
          <w:rFonts w:ascii="Arial" w:eastAsia="Arial" w:hAnsi="Arial" w:cs="Arial"/>
          <w:i/>
          <w:color w:val="000000" w:themeColor="text1"/>
          <w:sz w:val="21"/>
          <w:szCs w:val="21"/>
        </w:rPr>
        <w:t>P</w:t>
      </w:r>
      <w:r w:rsidR="00862C1C"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&lt;0.03; </w:t>
      </w:r>
      <w:r w:rsidR="00862C1C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**</w:t>
      </w:r>
      <w:r w:rsidR="00862C1C" w:rsidRPr="009B1334">
        <w:rPr>
          <w:rFonts w:ascii="Arial" w:eastAsia="Times New Roman" w:hAnsi="Arial" w:cs="Arial"/>
          <w:i/>
          <w:color w:val="000000" w:themeColor="text1"/>
          <w:sz w:val="21"/>
          <w:szCs w:val="21"/>
        </w:rPr>
        <w:t>P</w:t>
      </w:r>
      <w:r w:rsidR="00862C1C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&lt;0.002; </w:t>
      </w:r>
      <w:r w:rsidR="00862C1C" w:rsidRPr="009B1334">
        <w:rPr>
          <w:rFonts w:ascii="Arial" w:eastAsia="Arial" w:hAnsi="Arial" w:cs="Arial"/>
          <w:color w:val="000000" w:themeColor="text1"/>
          <w:sz w:val="21"/>
          <w:szCs w:val="21"/>
        </w:rPr>
        <w:t>****</w:t>
      </w:r>
      <w:r w:rsidR="00862C1C" w:rsidRPr="009B1334">
        <w:rPr>
          <w:rFonts w:ascii="Arial" w:eastAsia="Arial" w:hAnsi="Arial" w:cs="Arial"/>
          <w:i/>
          <w:iCs/>
          <w:color w:val="000000" w:themeColor="text1"/>
          <w:sz w:val="21"/>
          <w:szCs w:val="21"/>
        </w:rPr>
        <w:t>P</w:t>
      </w:r>
      <w:r w:rsidR="00862C1C"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&lt;0.0001; two-way ANOVA with </w:t>
      </w:r>
      <w:proofErr w:type="spellStart"/>
      <w:r w:rsidR="00862C1C" w:rsidRPr="009B1334">
        <w:rPr>
          <w:rFonts w:ascii="Arial" w:eastAsia="Arial" w:hAnsi="Arial" w:cs="Arial"/>
          <w:color w:val="000000" w:themeColor="text1"/>
          <w:sz w:val="21"/>
          <w:szCs w:val="21"/>
        </w:rPr>
        <w:t>Sidak’s</w:t>
      </w:r>
      <w:proofErr w:type="spellEnd"/>
      <w:r w:rsidR="00862C1C"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 (between genotypes) and Tukey’s (between treatments) multiple comparison tests).</w:t>
      </w:r>
    </w:p>
    <w:p w14:paraId="436AA4D2" w14:textId="4A4AED77" w:rsidR="00857B3D" w:rsidRPr="009B1334" w:rsidRDefault="00FD49B0" w:rsidP="009B1334">
      <w:pPr>
        <w:spacing w:after="0" w:line="240" w:lineRule="auto"/>
        <w:jc w:val="both"/>
      </w:pPr>
      <w:r w:rsidRPr="009B1334">
        <w:rPr>
          <w:rFonts w:ascii="Arial" w:eastAsia="Arial" w:hAnsi="Arial" w:cs="Arial"/>
          <w:b/>
          <w:bCs/>
          <w:color w:val="000000" w:themeColor="text1"/>
          <w:sz w:val="21"/>
          <w:szCs w:val="21"/>
        </w:rPr>
        <w:t>(c)</w:t>
      </w:r>
      <w:r w:rsidR="006D7E12"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 RGCs </w:t>
      </w:r>
      <w:r w:rsidR="0091211A"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were </w:t>
      </w:r>
      <w:r w:rsidR="006D7E12" w:rsidRPr="009B1334">
        <w:rPr>
          <w:rFonts w:ascii="Arial" w:eastAsia="Arial" w:hAnsi="Arial" w:cs="Arial"/>
          <w:color w:val="000000" w:themeColor="text1"/>
          <w:sz w:val="21"/>
          <w:szCs w:val="21"/>
        </w:rPr>
        <w:t>co-transfected with GFP and the indicated plasmids</w:t>
      </w:r>
      <w:r w:rsidR="0091211A"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 and</w:t>
      </w:r>
      <w:r w:rsidR="006D7E12"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 treated where indicated with 3-Methyladenine (3-MA)</w:t>
      </w:r>
      <w:r w:rsidR="0091211A"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. After 72h, apoptosis was measured. Data represent </w:t>
      </w:r>
      <w:proofErr w:type="spellStart"/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average</w:t>
      </w:r>
      <w:r w:rsidR="008C67A7">
        <w:rPr>
          <w:rFonts w:ascii="Arial" w:eastAsia="Times New Roman" w:hAnsi="Arial" w:cs="Arial"/>
          <w:color w:val="000000" w:themeColor="text1"/>
          <w:sz w:val="21"/>
          <w:szCs w:val="21"/>
        </w:rPr>
        <w:t>±</w:t>
      </w:r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>SD</w:t>
      </w:r>
      <w:proofErr w:type="spellEnd"/>
      <w:r w:rsidR="0091211A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of 3 independent experiments</w:t>
      </w:r>
      <w:r w:rsidR="006D7E12"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 (n=40 cells/experiment</w:t>
      </w:r>
      <w:r w:rsidR="00E56976" w:rsidRPr="009B1334">
        <w:rPr>
          <w:rFonts w:ascii="Arial" w:eastAsia="Arial" w:hAnsi="Arial" w:cs="Arial"/>
          <w:color w:val="000000" w:themeColor="text1"/>
          <w:sz w:val="21"/>
          <w:szCs w:val="21"/>
        </w:rPr>
        <w:t>).</w:t>
      </w:r>
      <w:r w:rsidR="00E56976" w:rsidRPr="009B1334">
        <w:rPr>
          <w:rFonts w:ascii="Arial" w:eastAsia="Times New Roman" w:hAnsi="Arial" w:cs="Arial"/>
          <w:color w:val="000000" w:themeColor="text1"/>
          <w:sz w:val="21"/>
          <w:szCs w:val="21"/>
        </w:rPr>
        <w:t xml:space="preserve"> </w:t>
      </w:r>
      <w:r w:rsidR="006D7E12" w:rsidRPr="009B1334">
        <w:rPr>
          <w:rFonts w:ascii="Arial" w:eastAsia="Arial" w:hAnsi="Arial" w:cs="Arial"/>
          <w:color w:val="000000" w:themeColor="text1"/>
          <w:sz w:val="21"/>
          <w:szCs w:val="21"/>
        </w:rPr>
        <w:t>****</w:t>
      </w:r>
      <w:r w:rsidR="006D7E12" w:rsidRPr="009B1334">
        <w:rPr>
          <w:rFonts w:ascii="Arial" w:eastAsia="Arial" w:hAnsi="Arial" w:cs="Arial"/>
          <w:i/>
          <w:iCs/>
          <w:color w:val="000000" w:themeColor="text1"/>
          <w:sz w:val="21"/>
          <w:szCs w:val="21"/>
        </w:rPr>
        <w:t>P</w:t>
      </w:r>
      <w:r w:rsidR="006D7E12"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&lt;0.0001; two-way ANOVA with Tukey’s (between genotypes) and </w:t>
      </w:r>
      <w:proofErr w:type="spellStart"/>
      <w:r w:rsidR="006D7E12" w:rsidRPr="009B1334">
        <w:rPr>
          <w:rFonts w:ascii="Arial" w:eastAsia="Arial" w:hAnsi="Arial" w:cs="Arial"/>
          <w:color w:val="000000" w:themeColor="text1"/>
          <w:sz w:val="21"/>
          <w:szCs w:val="21"/>
        </w:rPr>
        <w:t>Sidak’s</w:t>
      </w:r>
      <w:proofErr w:type="spellEnd"/>
      <w:r w:rsidR="006D7E12"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 (between treatments</w:t>
      </w:r>
      <w:r w:rsidR="008C2C73" w:rsidRPr="009B1334">
        <w:rPr>
          <w:rFonts w:ascii="Arial" w:eastAsia="Arial" w:hAnsi="Arial" w:cs="Arial"/>
          <w:color w:val="000000" w:themeColor="text1"/>
          <w:sz w:val="21"/>
          <w:szCs w:val="21"/>
        </w:rPr>
        <w:t>)</w:t>
      </w:r>
      <w:r w:rsidR="006D7E12" w:rsidRPr="009B1334">
        <w:rPr>
          <w:rFonts w:ascii="Arial" w:eastAsia="Arial" w:hAnsi="Arial" w:cs="Arial"/>
          <w:color w:val="000000" w:themeColor="text1"/>
          <w:sz w:val="21"/>
          <w:szCs w:val="21"/>
        </w:rPr>
        <w:t xml:space="preserve"> multiple comparison tests).</w:t>
      </w:r>
    </w:p>
    <w:sectPr w:rsidR="00857B3D" w:rsidRPr="009B1334" w:rsidSect="009B1334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C50EB" w14:textId="77777777" w:rsidR="00922901" w:rsidRDefault="00922901" w:rsidP="009B1334">
      <w:pPr>
        <w:spacing w:after="0" w:line="240" w:lineRule="auto"/>
      </w:pPr>
      <w:r>
        <w:separator/>
      </w:r>
    </w:p>
  </w:endnote>
  <w:endnote w:type="continuationSeparator" w:id="0">
    <w:p w14:paraId="69E97CB8" w14:textId="77777777" w:rsidR="00922901" w:rsidRDefault="00922901" w:rsidP="009B1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20"/>
        <w:szCs w:val="20"/>
      </w:rPr>
      <w:id w:val="2622695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5CE4FD" w14:textId="07F88A2A" w:rsidR="009B1334" w:rsidRPr="009B1334" w:rsidRDefault="009B1334">
        <w:pPr>
          <w:pStyle w:val="Footer"/>
          <w:jc w:val="right"/>
          <w:rPr>
            <w:rFonts w:ascii="Arial" w:hAnsi="Arial" w:cs="Arial"/>
            <w:sz w:val="20"/>
            <w:szCs w:val="20"/>
          </w:rPr>
        </w:pPr>
        <w:r w:rsidRPr="009B1334">
          <w:rPr>
            <w:rFonts w:ascii="Arial" w:hAnsi="Arial" w:cs="Arial"/>
            <w:sz w:val="20"/>
            <w:szCs w:val="20"/>
          </w:rPr>
          <w:fldChar w:fldCharType="begin"/>
        </w:r>
        <w:r w:rsidRPr="009B1334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9B1334">
          <w:rPr>
            <w:rFonts w:ascii="Arial" w:hAnsi="Arial" w:cs="Arial"/>
            <w:sz w:val="20"/>
            <w:szCs w:val="20"/>
          </w:rPr>
          <w:fldChar w:fldCharType="separate"/>
        </w:r>
        <w:r w:rsidRPr="009B1334">
          <w:rPr>
            <w:rFonts w:ascii="Arial" w:hAnsi="Arial" w:cs="Arial"/>
            <w:noProof/>
            <w:sz w:val="20"/>
            <w:szCs w:val="20"/>
          </w:rPr>
          <w:t>2</w:t>
        </w:r>
        <w:r w:rsidRPr="009B1334">
          <w:rPr>
            <w:rFonts w:ascii="Arial" w:hAnsi="Arial" w:cs="Arial"/>
            <w:noProof/>
            <w:sz w:val="20"/>
            <w:szCs w:val="20"/>
          </w:rPr>
          <w:fldChar w:fldCharType="end"/>
        </w:r>
      </w:p>
    </w:sdtContent>
  </w:sdt>
  <w:p w14:paraId="6D7A06F4" w14:textId="77777777" w:rsidR="009B1334" w:rsidRPr="009B1334" w:rsidRDefault="009B1334">
    <w:pPr>
      <w:pStyle w:val="Foo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4ED9E" w14:textId="77777777" w:rsidR="00922901" w:rsidRDefault="00922901" w:rsidP="009B1334">
      <w:pPr>
        <w:spacing w:after="0" w:line="240" w:lineRule="auto"/>
      </w:pPr>
      <w:r>
        <w:separator/>
      </w:r>
    </w:p>
  </w:footnote>
  <w:footnote w:type="continuationSeparator" w:id="0">
    <w:p w14:paraId="24326282" w14:textId="77777777" w:rsidR="00922901" w:rsidRDefault="00922901" w:rsidP="009B13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18DC"/>
    <w:rsid w:val="000253A4"/>
    <w:rsid w:val="0004010B"/>
    <w:rsid w:val="000829EE"/>
    <w:rsid w:val="000C02D2"/>
    <w:rsid w:val="000E426E"/>
    <w:rsid w:val="001012EF"/>
    <w:rsid w:val="001B25A4"/>
    <w:rsid w:val="002A40BA"/>
    <w:rsid w:val="003518DC"/>
    <w:rsid w:val="00357367"/>
    <w:rsid w:val="003839F5"/>
    <w:rsid w:val="00651DAD"/>
    <w:rsid w:val="006D7E12"/>
    <w:rsid w:val="0072423E"/>
    <w:rsid w:val="00857B3D"/>
    <w:rsid w:val="00862C1C"/>
    <w:rsid w:val="00895FD9"/>
    <w:rsid w:val="008A6E5D"/>
    <w:rsid w:val="008C2C73"/>
    <w:rsid w:val="008C67A7"/>
    <w:rsid w:val="0091211A"/>
    <w:rsid w:val="00922901"/>
    <w:rsid w:val="009A1943"/>
    <w:rsid w:val="009B1334"/>
    <w:rsid w:val="00B5695A"/>
    <w:rsid w:val="00BC3FA2"/>
    <w:rsid w:val="00C71A48"/>
    <w:rsid w:val="00CA41AB"/>
    <w:rsid w:val="00D06CB9"/>
    <w:rsid w:val="00E53832"/>
    <w:rsid w:val="00E56976"/>
    <w:rsid w:val="00F76564"/>
    <w:rsid w:val="00FD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E38D5"/>
  <w15:docId w15:val="{31B132DB-ECEB-4581-8014-C99AE8464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518DC"/>
    <w:pPr>
      <w:spacing w:after="200" w:line="276" w:lineRule="auto"/>
    </w:pPr>
    <w:rPr>
      <w:rFonts w:ascii="Calibri" w:eastAsia="Calibri" w:hAnsi="Calibri" w:cs="Calibri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18D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56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0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10B"/>
    <w:rPr>
      <w:rFonts w:ascii="Tahoma" w:eastAsia="Calibri" w:hAnsi="Tahoma" w:cs="Tahoma"/>
      <w:sz w:val="16"/>
      <w:szCs w:val="16"/>
      <w:lang w:eastAsia="it-IT"/>
    </w:rPr>
  </w:style>
  <w:style w:type="character" w:styleId="CommentReference">
    <w:name w:val="annotation reference"/>
    <w:basedOn w:val="DefaultParagraphFont"/>
    <w:uiPriority w:val="99"/>
    <w:semiHidden/>
    <w:unhideWhenUsed/>
    <w:rsid w:val="0091211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211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211A"/>
    <w:rPr>
      <w:rFonts w:ascii="Calibri" w:eastAsia="Calibri" w:hAnsi="Calibri" w:cs="Calibri"/>
      <w:sz w:val="20"/>
      <w:szCs w:val="20"/>
      <w:lang w:eastAsia="it-I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21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211A"/>
    <w:rPr>
      <w:rFonts w:ascii="Calibri" w:eastAsia="Calibri" w:hAnsi="Calibri" w:cs="Calibri"/>
      <w:b/>
      <w:bCs/>
      <w:sz w:val="20"/>
      <w:szCs w:val="20"/>
      <w:lang w:eastAsia="it-IT"/>
    </w:rPr>
  </w:style>
  <w:style w:type="paragraph" w:styleId="Header">
    <w:name w:val="header"/>
    <w:basedOn w:val="Normal"/>
    <w:link w:val="HeaderChar"/>
    <w:uiPriority w:val="99"/>
    <w:unhideWhenUsed/>
    <w:rsid w:val="009B13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334"/>
    <w:rPr>
      <w:rFonts w:ascii="Calibri" w:eastAsia="Calibri" w:hAnsi="Calibri" w:cs="Calibri"/>
      <w:lang w:eastAsia="it-IT"/>
    </w:rPr>
  </w:style>
  <w:style w:type="paragraph" w:styleId="Footer">
    <w:name w:val="footer"/>
    <w:basedOn w:val="Normal"/>
    <w:link w:val="FooterChar"/>
    <w:uiPriority w:val="99"/>
    <w:unhideWhenUsed/>
    <w:rsid w:val="009B13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334"/>
    <w:rPr>
      <w:rFonts w:ascii="Calibri" w:eastAsia="Calibri" w:hAnsi="Calibri" w:cs="Calibri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68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7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53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4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Scorrano Luca</dc:creator>
  <cp:keywords/>
  <dc:description/>
  <cp:lastModifiedBy>Scorrano Luca</cp:lastModifiedBy>
  <cp:revision>2</cp:revision>
  <dcterms:created xsi:type="dcterms:W3CDTF">2021-07-23T15:04:00Z</dcterms:created>
  <dcterms:modified xsi:type="dcterms:W3CDTF">2021-07-23T15:04:00Z</dcterms:modified>
</cp:coreProperties>
</file>